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C1" w:rsidRDefault="001C0500" w:rsidP="00097DF3">
      <w:pPr>
        <w:spacing w:after="0"/>
        <w:jc w:val="both"/>
        <w:rPr>
          <w:rFonts w:eastAsiaTheme="minorEastAsia"/>
          <w:noProof/>
          <w:lang w:eastAsia="ru-RU"/>
        </w:rPr>
      </w:pPr>
      <w:r w:rsidRPr="00387B5A">
        <w:rPr>
          <w:rFonts w:eastAsiaTheme="minorEastAsia"/>
          <w:noProof/>
          <w:lang w:eastAsia="ru-RU"/>
        </w:rPr>
        <w:t xml:space="preserve">                                                                    </w:t>
      </w:r>
      <w:r>
        <w:rPr>
          <w:rFonts w:eastAsiaTheme="minorEastAsia"/>
          <w:noProof/>
          <w:lang w:eastAsia="ru-RU"/>
        </w:rPr>
        <w:t xml:space="preserve">    </w:t>
      </w: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Pr="001437CC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color w:val="0000FF"/>
          <w:spacing w:val="14"/>
          <w:sz w:val="36"/>
          <w:szCs w:val="36"/>
        </w:rPr>
      </w:pPr>
      <w:r w:rsidRPr="001437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2400300</wp:posOffset>
            </wp:positionH>
            <wp:positionV relativeFrom="paragraph">
              <wp:posOffset>-374650</wp:posOffset>
            </wp:positionV>
            <wp:extent cx="1028700" cy="685800"/>
            <wp:effectExtent l="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37CC">
        <w:rPr>
          <w:rFonts w:ascii="Calibri" w:eastAsia="Calibri" w:hAnsi="Calibri" w:cs="Times New Roman"/>
        </w:rPr>
        <w:br/>
      </w: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</w:pPr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>РЕСПУБЛИКА ДАГЕСТАН</w:t>
      </w: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</w:pPr>
      <w:proofErr w:type="spellStart"/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>Карабудахкентский</w:t>
      </w:r>
      <w:proofErr w:type="spellEnd"/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 xml:space="preserve"> район</w:t>
      </w:r>
    </w:p>
    <w:p w:rsidR="00306F6D" w:rsidRPr="001437CC" w:rsidRDefault="00306F6D" w:rsidP="00306F6D">
      <w:pPr>
        <w:keepNext/>
        <w:spacing w:before="240" w:after="60" w:line="240" w:lineRule="auto"/>
        <w:ind w:left="284" w:hanging="284"/>
        <w:jc w:val="both"/>
        <w:outlineLvl w:val="0"/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</w:pPr>
      <w:r w:rsidRPr="001437CC">
        <w:rPr>
          <w:rFonts w:ascii="Arial" w:eastAsia="Calibri" w:hAnsi="Arial" w:cs="Arial"/>
          <w:b/>
          <w:bCs/>
          <w:kern w:val="32"/>
          <w:sz w:val="32"/>
          <w:szCs w:val="32"/>
        </w:rPr>
        <w:t xml:space="preserve">                      сельское  </w:t>
      </w:r>
      <w:r>
        <w:rPr>
          <w:rFonts w:ascii="Arial" w:eastAsia="Calibri" w:hAnsi="Arial" w:cs="Arial"/>
          <w:b/>
          <w:bCs/>
          <w:kern w:val="32"/>
          <w:sz w:val="32"/>
          <w:szCs w:val="32"/>
        </w:rPr>
        <w:t>С</w:t>
      </w:r>
      <w:r w:rsidRPr="001437CC">
        <w:rPr>
          <w:rFonts w:ascii="Arial" w:eastAsia="Calibri" w:hAnsi="Arial" w:cs="Arial"/>
          <w:b/>
          <w:bCs/>
          <w:kern w:val="32"/>
          <w:sz w:val="32"/>
          <w:szCs w:val="32"/>
        </w:rPr>
        <w:t>обрание  депутатов</w:t>
      </w:r>
    </w:p>
    <w:p w:rsidR="00306F6D" w:rsidRPr="001437CC" w:rsidRDefault="00306F6D" w:rsidP="00306F6D">
      <w:pPr>
        <w:keepNext/>
        <w:spacing w:before="240" w:after="60" w:line="240" w:lineRule="auto"/>
        <w:ind w:left="284" w:hanging="284"/>
        <w:jc w:val="both"/>
        <w:outlineLvl w:val="0"/>
        <w:rPr>
          <w:rFonts w:ascii="Arial" w:eastAsia="Calibri" w:hAnsi="Arial" w:cs="Arial"/>
          <w:b/>
          <w:bCs/>
          <w:color w:val="0000FF"/>
          <w:spacing w:val="9"/>
          <w:kern w:val="32"/>
          <w:sz w:val="32"/>
          <w:szCs w:val="32"/>
        </w:rPr>
      </w:pPr>
      <w:r w:rsidRPr="001437CC"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  <w:t xml:space="preserve">   МО сельского поселения «сельсовет« Губденский»</w:t>
      </w: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</w:rPr>
      </w:pPr>
      <w:r w:rsidRPr="001437CC">
        <w:rPr>
          <w:rFonts w:ascii="Calibri" w:eastAsia="Calibri" w:hAnsi="Calibri" w:cs="Times New Roman"/>
        </w:rPr>
        <w:t xml:space="preserve">368546 РД </w:t>
      </w:r>
      <w:proofErr w:type="spellStart"/>
      <w:r w:rsidRPr="001437CC">
        <w:rPr>
          <w:rFonts w:ascii="Calibri" w:eastAsia="Calibri" w:hAnsi="Calibri" w:cs="Times New Roman"/>
        </w:rPr>
        <w:t>Карабудахкентский</w:t>
      </w:r>
      <w:proofErr w:type="spellEnd"/>
      <w:r w:rsidRPr="001437CC">
        <w:rPr>
          <w:rFonts w:ascii="Calibri" w:eastAsia="Calibri" w:hAnsi="Calibri" w:cs="Times New Roman"/>
        </w:rPr>
        <w:t xml:space="preserve"> район с</w:t>
      </w:r>
      <w:proofErr w:type="gramStart"/>
      <w:r w:rsidRPr="001437CC">
        <w:rPr>
          <w:rFonts w:ascii="Calibri" w:eastAsia="Calibri" w:hAnsi="Calibri" w:cs="Times New Roman"/>
        </w:rPr>
        <w:t>.Г</w:t>
      </w:r>
      <w:proofErr w:type="gramEnd"/>
      <w:r w:rsidRPr="001437CC">
        <w:rPr>
          <w:rFonts w:ascii="Calibri" w:eastAsia="Calibri" w:hAnsi="Calibri" w:cs="Times New Roman"/>
        </w:rPr>
        <w:t>убден</w:t>
      </w:r>
    </w:p>
    <w:p w:rsidR="00306F6D" w:rsidRPr="00415F06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</w:rPr>
      </w:pPr>
    </w:p>
    <w:tbl>
      <w:tblPr>
        <w:tblW w:w="10314" w:type="dxa"/>
        <w:tblInd w:w="-459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000"/>
      </w:tblPr>
      <w:tblGrid>
        <w:gridCol w:w="10314"/>
      </w:tblGrid>
      <w:tr w:rsidR="00306F6D" w:rsidRPr="00415F06" w:rsidTr="00FA2D1A">
        <w:trPr>
          <w:trHeight w:val="180"/>
        </w:trPr>
        <w:tc>
          <w:tcPr>
            <w:tcW w:w="1031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6F6D" w:rsidRPr="00415F06" w:rsidRDefault="00306F6D" w:rsidP="00FA2D1A">
            <w:pPr>
              <w:spacing w:after="0" w:line="240" w:lineRule="auto"/>
              <w:ind w:left="284" w:hanging="284"/>
              <w:jc w:val="center"/>
              <w:rPr>
                <w:rFonts w:ascii="Californian FB" w:eastAsia="Calibri" w:hAnsi="Californian FB" w:cs="Arial"/>
                <w:b/>
                <w:spacing w:val="14"/>
                <w:sz w:val="6"/>
              </w:rPr>
            </w:pPr>
          </w:p>
          <w:p w:rsidR="00306F6D" w:rsidRPr="00415F06" w:rsidRDefault="00306F6D" w:rsidP="00FA2D1A">
            <w:pPr>
              <w:spacing w:after="0" w:line="240" w:lineRule="auto"/>
              <w:ind w:left="284" w:hanging="284"/>
              <w:jc w:val="both"/>
              <w:rPr>
                <w:rFonts w:ascii="Californian FB" w:eastAsia="Calibri" w:hAnsi="Californian FB" w:cs="Arial"/>
                <w:b/>
                <w:spacing w:val="14"/>
                <w:sz w:val="18"/>
              </w:rPr>
            </w:pPr>
            <w:r w:rsidRPr="00415F06">
              <w:rPr>
                <w:rFonts w:ascii="Californian FB" w:eastAsia="Calibri" w:hAnsi="Californian FB" w:cs="Arial"/>
                <w:b/>
                <w:spacing w:val="14"/>
                <w:sz w:val="18"/>
              </w:rPr>
              <w:t xml:space="preserve">                                       </w:t>
            </w:r>
          </w:p>
        </w:tc>
      </w:tr>
    </w:tbl>
    <w:p w:rsidR="00306F6D" w:rsidRPr="00415F06" w:rsidRDefault="00306F6D" w:rsidP="00306F6D">
      <w:pPr>
        <w:spacing w:after="0" w:line="240" w:lineRule="auto"/>
        <w:ind w:left="284" w:hanging="284"/>
        <w:jc w:val="right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sz w:val="24"/>
          <w:u w:val="single"/>
        </w:rPr>
      </w:pPr>
      <w:r w:rsidRPr="00415F06">
        <w:rPr>
          <w:rFonts w:ascii="Calibri" w:eastAsia="Calibri" w:hAnsi="Calibri" w:cs="Times New Roman"/>
          <w:b/>
          <w:sz w:val="24"/>
        </w:rPr>
        <w:t xml:space="preserve">Р Е Ш Е Н И Е  № </w:t>
      </w:r>
      <w:r>
        <w:rPr>
          <w:rFonts w:ascii="Calibri" w:eastAsia="Calibri" w:hAnsi="Calibri" w:cs="Times New Roman"/>
          <w:b/>
          <w:sz w:val="24"/>
          <w:u w:val="single"/>
        </w:rPr>
        <w:t>_1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6D" w:rsidRPr="00415F06" w:rsidRDefault="00306F6D" w:rsidP="00306F6D">
      <w:pPr>
        <w:keepNext/>
        <w:spacing w:before="240" w:after="0" w:line="240" w:lineRule="auto"/>
        <w:ind w:left="1440"/>
        <w:jc w:val="right"/>
        <w:outlineLvl w:val="3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«О  бюджете М О  сельского поселения  «сельсовет «</w:t>
      </w:r>
      <w:proofErr w:type="spell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Губденский</w:t>
      </w:r>
      <w:proofErr w:type="spell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Р Д  на 201</w:t>
      </w:r>
      <w:r w:rsidR="00922E5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».</w:t>
      </w:r>
      <w:r w:rsidRPr="00415F0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8"/>
          <w:szCs w:val="28"/>
        </w:rPr>
      </w:pPr>
      <w:r w:rsidRPr="00415F06">
        <w:rPr>
          <w:rFonts w:ascii="Calibri" w:eastAsia="Calibri" w:hAnsi="Calibri" w:cs="Times New Roman"/>
        </w:rPr>
        <w:t xml:space="preserve">       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Принят  сельским </w:t>
      </w:r>
      <w:r>
        <w:rPr>
          <w:rFonts w:ascii="Calibri" w:eastAsia="Calibri" w:hAnsi="Calibri" w:cs="Times New Roman"/>
          <w:sz w:val="28"/>
          <w:szCs w:val="28"/>
        </w:rPr>
        <w:t>С</w:t>
      </w:r>
      <w:r w:rsidRPr="00415F06">
        <w:rPr>
          <w:rFonts w:ascii="Calibri" w:eastAsia="Calibri" w:hAnsi="Calibri" w:cs="Times New Roman"/>
          <w:sz w:val="28"/>
          <w:szCs w:val="28"/>
        </w:rPr>
        <w:t>обранием депутат</w:t>
      </w:r>
      <w:r>
        <w:rPr>
          <w:rFonts w:ascii="Calibri" w:eastAsia="Calibri" w:hAnsi="Calibri" w:cs="Times New Roman"/>
          <w:sz w:val="28"/>
          <w:szCs w:val="28"/>
        </w:rPr>
        <w:t xml:space="preserve">ов  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"    </w:t>
      </w:r>
      <w:r w:rsidR="00281CBE">
        <w:rPr>
          <w:rFonts w:ascii="Calibri" w:eastAsia="Calibri" w:hAnsi="Calibri" w:cs="Times New Roman"/>
          <w:sz w:val="28"/>
          <w:szCs w:val="28"/>
        </w:rPr>
        <w:t>19</w:t>
      </w:r>
      <w:r>
        <w:rPr>
          <w:rFonts w:ascii="Calibri" w:eastAsia="Calibri" w:hAnsi="Calibri" w:cs="Times New Roman"/>
          <w:sz w:val="28"/>
          <w:szCs w:val="28"/>
        </w:rPr>
        <w:t xml:space="preserve">    "       Января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         201</w:t>
      </w:r>
      <w:r w:rsidR="006B18AE">
        <w:rPr>
          <w:rFonts w:ascii="Calibri" w:eastAsia="Calibri" w:hAnsi="Calibri" w:cs="Times New Roman"/>
          <w:sz w:val="28"/>
          <w:szCs w:val="28"/>
        </w:rPr>
        <w:t>9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 г.</w:t>
      </w:r>
    </w:p>
    <w:p w:rsidR="00306F6D" w:rsidRPr="00415F06" w:rsidRDefault="00306F6D" w:rsidP="00306F6D">
      <w:pPr>
        <w:spacing w:after="0" w:line="240" w:lineRule="auto"/>
        <w:ind w:left="284" w:hanging="284"/>
        <w:jc w:val="right"/>
        <w:rPr>
          <w:rFonts w:ascii="Calibri" w:eastAsia="Calibri" w:hAnsi="Calibri" w:cs="Times New Roman"/>
          <w:b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1. Основные характеристики сельского  бюджета МО "_сельсовет «  Губденский" на 201</w:t>
      </w:r>
      <w:r w:rsidR="006B18A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1.Утвердить основные характеристики сельского 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на 201</w:t>
      </w:r>
      <w:r w:rsidR="00281CB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1) Прогнозируемый общий объем доходов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в  сумме </w:t>
      </w:r>
      <w:r w:rsidR="00281CBE">
        <w:rPr>
          <w:b/>
        </w:rPr>
        <w:t>11797,2</w:t>
      </w:r>
      <w:r>
        <w:rPr>
          <w:b/>
        </w:rPr>
        <w:t xml:space="preserve">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тыс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рублей, в том числе объем межбюджетных трансфертов получаемых из районного бюджета  в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сумме    </w:t>
      </w:r>
      <w:r w:rsidR="00281CBE">
        <w:rPr>
          <w:b/>
        </w:rPr>
        <w:t>9475,0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сельского бюджета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в сумме </w:t>
      </w:r>
      <w:r w:rsidR="00281CBE">
        <w:rPr>
          <w:b/>
        </w:rPr>
        <w:t>9475,0</w:t>
      </w:r>
      <w:r w:rsidRPr="00415F06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2. Нормативы распределения  доходов  между бюджетами бюджетной системы  МО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«сельсовет «Губденский»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 w:rsidR="006B18A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1.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Доходы бюджета села формируются в соответствии с действующим законодательством за счет федеральных, региональных и местных налогов и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 Российской Федерации, законодательством Республики Дагестан.   нормативно-правовыми актами района.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   2. Учесть в сельском бюджете МО «сельсовет «   Губденский  »  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.поступления  доходов в объеме согласно </w:t>
      </w:r>
      <w:r w:rsidRPr="00415F06">
        <w:rPr>
          <w:rFonts w:ascii="Times New Roman" w:eastAsia="Calibri" w:hAnsi="Times New Roman" w:cs="Times New Roman"/>
          <w:b/>
        </w:rPr>
        <w:t>приложению № 1.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Статья 3.  Главные администраторы доходов  сельского бюджета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 Губденский  »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и главные администраторы источников финансирования дефицита  сельского бюджета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 Губденский  »  </w:t>
      </w: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1. Утвердить перечень главных администраторов - администраторов доходов бюджета села и   закрепить  источники доходов сельского  бюджета МО 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за главными администраторами  доходов сельского  бюджета 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 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решению, осуществляющему в соответствии с федеральным законодательством  и законодательством Республики Дагестан и нормативными актами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контроль за правильностью исчисления, полнотой и своевременностью уплаты, начисление, учет взыскание и принятие решений о возврате (зачете) излишне уплаченных (взысканных) платежей в бюджет, пеней  и штрафов по ним.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Утвердить перечень главных администраторов источников финансирования дефицита сельского  бюджета 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 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 Главные администраторы источников финансирования дефицита бюджета села  осуществляют бюджетные полномочия главных администраторов источников финансирования дефицита  бюджета, предусмотренные бюджетным законодательством.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3. Установить, что в случае изменения в 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415F06">
        <w:rPr>
          <w:rFonts w:ascii="Calibri" w:eastAsia="Calibri" w:hAnsi="Calibri" w:cs="Times New Roman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функций главных администраторов - администраторов доходов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 или главных администраторов - администраторов источников финансирования дефицита бюджета села  и изменения состава  закреплении за ними кодов классификации доходов бюджета села Администрация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вправе при присвоении кодов классификации доходов бюджета села и источников финансирования дефицитов бюджета села вносить соответствующие изменения в перечень главных администраторов - администраторов доходов бюджета села и в перечень главных администраторов - администраторов источников финансирования дефицита бюджета села, а также в состав закрепленных за ними кодов классификации доходов бюджета села или классификации источников финансирования дефицитов бюджета.</w:t>
      </w:r>
      <w:r w:rsidRPr="00415F0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4. Особенности  использования средств, получаемых  сельскими  бюджетными учреждениями. 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1. Средства в валюте Российской Федерации, полученные бюджетными учреждениями села от приносящей доход деятельности, учитываются на лицевых счетах,, открытых ими  в  органах федерального  казначейства и расходуются бюджетными учреждениями в соответствии  сметами доходов и расходов по приносящей доход деятельности, утвержденными в установленном порядке ,в пределах остатков средств на их  лицевых счетах.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Средства, полученные от приносящей доход деятельности, не могут направляться бюджетными учреждениями на создание других организаций, покупку ценных бумаг и размещаться на депозиты в кредитных организациях.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Установить, что при перевыполнении бюджетными учреждениями доходов от предпринимательской и иной приносящей доход деятельности в текущем финансовом году Администрация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самостоятельно уточняет бюджетные ассигнования по расходам на сумму дополнительно поступивших средств.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035BC8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5.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Бюджетные ассигнования районного  бюджета МО "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BC8">
        <w:rPr>
          <w:rFonts w:ascii="Times New Roman" w:eastAsia="Calibri" w:hAnsi="Times New Roman" w:cs="Times New Roman"/>
          <w:b/>
          <w:sz w:val="24"/>
          <w:szCs w:val="24"/>
        </w:rPr>
        <w:t xml:space="preserve">«сельсовет «  </w:t>
      </w:r>
      <w:r w:rsidRPr="00035BC8">
        <w:rPr>
          <w:rFonts w:ascii="Times New Roman" w:eastAsia="Calibri" w:hAnsi="Times New Roman" w:cs="Arial"/>
          <w:b/>
          <w:sz w:val="24"/>
          <w:szCs w:val="24"/>
        </w:rPr>
        <w:t xml:space="preserve"> Губденский  </w:t>
      </w:r>
      <w:r w:rsidRPr="00035BC8">
        <w:rPr>
          <w:rFonts w:ascii="Times New Roman" w:eastAsia="Calibri" w:hAnsi="Times New Roman" w:cs="Times New Roman"/>
          <w:b/>
          <w:sz w:val="24"/>
          <w:szCs w:val="24"/>
        </w:rPr>
        <w:t xml:space="preserve">»   </w:t>
      </w:r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" на 201</w:t>
      </w:r>
      <w:r w:rsidR="006B18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9</w:t>
      </w:r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год 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1. </w:t>
      </w:r>
      <w:r w:rsidRPr="00415F06">
        <w:rPr>
          <w:rFonts w:ascii="Times New Roman" w:eastAsia="Calibri" w:hAnsi="Times New Roman" w:cs="Times New Roman"/>
          <w:sz w:val="24"/>
          <w:szCs w:val="24"/>
        </w:rPr>
        <w:t>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 целевым  статьям и видам расходов классификации расходов бюджетов Российской Федерации;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-   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год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к настоящему решению;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Утвердить ведомственную структуру   расходов районного бюджета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-  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настоящему решению;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6. Особенности использования бюджетных ассигнований по обеспечению деятельности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  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» и муниципальных учреждений села.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Администрация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не вправе принимать решения, приводящие  к увеличению в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численности государственных гражданских служащих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района и работников муниципальных бюджетных  учреждений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7.  Особенности использования бюджетных ассигнований в сфере отраслей национальной обороны.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Установить, что бюджетные ассигнования, предусмотренные в соответствии со статьей 5 настоящего решения по разделу "Национальная  оборона" классификации расходов бюджетов РФ в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направляются    на расходы  для выполнения полномочий по первичному  воинскому  учету на территориях, где отсутствуют военные  комиссариаты.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Статья 8.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Ме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жбюджетные трансферты  бюджету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полученные из районного  бюджета  средства на оплату произведенных закупок товаров, выполненных работ и оказанных услуг для муниципальных  нужд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осуществленных на конкурсной основе, главные распорядители средств (муниципальные заказчики) расходуют строго по целевому назначению.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06F6D" w:rsidRPr="00415F06" w:rsidRDefault="00306F6D" w:rsidP="00306F6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.</w:t>
      </w:r>
      <w:r w:rsidRPr="00415F06">
        <w:rPr>
          <w:rFonts w:ascii="Calibri" w:eastAsia="Calibri" w:hAnsi="Calibri" w:cs="Times New Roman"/>
          <w:sz w:val="24"/>
        </w:rPr>
        <w:t>3. Установить, что неиспользованные в 201</w:t>
      </w:r>
      <w:r w:rsidR="006B18AE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 xml:space="preserve"> </w:t>
      </w:r>
      <w:r w:rsidRPr="00415F06">
        <w:rPr>
          <w:rFonts w:ascii="Calibri" w:eastAsia="Calibri" w:hAnsi="Calibri" w:cs="Times New Roman"/>
          <w:sz w:val="24"/>
        </w:rPr>
        <w:t>году иные межбюджетные трансферты, имеющие целевое назначение, полученные из бюджета района, подлежат использованию в 20</w:t>
      </w:r>
      <w:r w:rsidR="006B18AE">
        <w:rPr>
          <w:rFonts w:ascii="Calibri" w:eastAsia="Calibri" w:hAnsi="Calibri" w:cs="Times New Roman"/>
          <w:sz w:val="24"/>
        </w:rPr>
        <w:t>20</w:t>
      </w:r>
      <w:r w:rsidRPr="00415F06">
        <w:rPr>
          <w:rFonts w:ascii="Calibri" w:eastAsia="Calibri" w:hAnsi="Calibri" w:cs="Times New Roman"/>
          <w:sz w:val="24"/>
        </w:rPr>
        <w:t xml:space="preserve"> году на те же цели. При установлении соответствующим главным распорядителем средств бюджета села отсутствия потребности в указанных межбюджетных трансфертах в 20</w:t>
      </w:r>
      <w:r w:rsidR="006B18AE">
        <w:rPr>
          <w:rFonts w:ascii="Calibri" w:eastAsia="Calibri" w:hAnsi="Calibri" w:cs="Times New Roman"/>
          <w:sz w:val="24"/>
        </w:rPr>
        <w:t>20</w:t>
      </w:r>
      <w:r w:rsidRPr="00415F06">
        <w:rPr>
          <w:rFonts w:ascii="Calibri" w:eastAsia="Calibri" w:hAnsi="Calibri" w:cs="Times New Roman"/>
          <w:sz w:val="24"/>
        </w:rPr>
        <w:t xml:space="preserve"> году их остаток подлежит возврату в доход районного бюджета. В случае, если неиспользованный остаток межбюджетных трансфертов не перечислен в доход районного бюджета, указанные средства подлежат взысканию в бюджет района.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lastRenderedPageBreak/>
        <w:t>4. Рекомендовать органом  местного самоуправления не принимать в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решения, приводящие к увеличению численности  муниципальных служащих и работников муниципальных  учреждений и организаций  финансируемых  из местных бюджетов.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Arial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Arial"/>
          <w:b/>
          <w:sz w:val="24"/>
          <w:szCs w:val="24"/>
        </w:rPr>
        <w:t>Статья 9</w:t>
      </w:r>
      <w:r w:rsidRPr="00415F06">
        <w:rPr>
          <w:rFonts w:ascii="Times New Roman" w:eastAsia="Calibri" w:hAnsi="Times New Roman" w:cs="Arial"/>
          <w:sz w:val="24"/>
          <w:szCs w:val="24"/>
        </w:rPr>
        <w:t>.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 Особенности исполнения  сельского  бюджета МО "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>с/с Губденский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>" на 201</w:t>
      </w:r>
      <w:r>
        <w:rPr>
          <w:rFonts w:ascii="Times New Roman" w:eastAsia="Calibri" w:hAnsi="Times New Roman" w:cs="Arial"/>
          <w:b/>
          <w:sz w:val="24"/>
          <w:szCs w:val="24"/>
        </w:rPr>
        <w:t>8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 г.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1. Установить, что исполнение местного бюджета по казначейской системе осуществляется Администрацией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Республики Дагестан.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>2). Установить в соответствии с пунктом 3 статьи 217  Бюджетного кодекса РФ следующие основания для внесение  в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связанные с особенностями исполнения сельского бюджета 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и (или) перераспределении бюджетных ассигнований между главными распорядителями  средств сельского  бюджета МО  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1   направление средств резервных фондов;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2) оплата судебных издержек, связанных с представлением интересов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», исполнение судебных решений о взыскании средств сельского бюджета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3) перераспределение бюджетных ассигнований между главными распорядителями средств на финансовое обеспечение, передаваемых учреждений, мероприятий и видов расходов;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5) изменение типа муниципальных учреждений села и организационно-правовой формы муниципальных унитарных предприятий, преобразование некоммерческих организаций;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 6) в случае образования в ходе исполнения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экономии по отдельным разделам, целевым статьям, видам расходов и статьям экономической классификации расходов бюджетов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7) предписания Финансового управления , Контрольно-счетной комиссии районного собрания депутатов на сумму, израсходованную получателями бюджетных средств незаконно или не по целевому назначению;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8)изменение бюджетной классификации доходов и расходов бюджета без изменения целевого направления средств. </w:t>
      </w: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  9)другие основания, предусмотренные в соответствии с действующим законодательством 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10)  в случае образование в ходе исполнение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экономии по отдельным разделам, подразделам, целевым статьям, видам расходов и статьям экономической   классификации расходов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11)  предписания Финансовым управлением, Контрольно-счетной комиссией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района и в соответствии с федеральным законодательством и Федеральной службой финансово-  бюджетного надзора по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Карабудахкентскому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району – на сумму израсходованную получателями бюджетных средств незаконно или не по целевому назначению.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>12) другие основания предусмотренные в соответствии с действующим законодательством.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Установить, что нормативные правовые акты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», влекущие дополнительные расходы за счет средств бюджета села 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год, а также сокращающие доходную базу, реализуются и применяются только при наличии соответствующих источников дополнительных поступлений в бюджет села и (или) при сокращении расходов по конкретным статьям бюджета села на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год, а также после внесения соответствующих изменений в настоящее решение.</w:t>
      </w:r>
      <w:r w:rsidRPr="00415F06">
        <w:rPr>
          <w:rFonts w:ascii="Calibri" w:eastAsia="Calibri" w:hAnsi="Calibri" w:cs="Times New Roman"/>
        </w:rPr>
        <w:t xml:space="preserve"> 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15F06">
        <w:rPr>
          <w:rFonts w:ascii="Times New Roman" w:eastAsia="Calibri" w:hAnsi="Times New Roman" w:cs="Times New Roman"/>
          <w:sz w:val="24"/>
          <w:szCs w:val="24"/>
        </w:rPr>
        <w:tab/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7. Перечень  и коды целевых статей  и видов расходов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утвержденные в составе ведомственной структуры расходов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  " статей 5 настоящего Решения могут применяться  к 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утвержденным   показателями расходов на плановый период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и 20</w:t>
      </w:r>
      <w:r w:rsidR="006B18AE">
        <w:rPr>
          <w:rFonts w:ascii="Times New Roman" w:eastAsia="Calibri" w:hAnsi="Times New Roman" w:cs="Times New Roman"/>
          <w:sz w:val="24"/>
          <w:szCs w:val="24"/>
        </w:rPr>
        <w:t>20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годов в случае преемственности  кодов классификации и расходов  сельского  бюджета 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Arial"/>
          <w:sz w:val="24"/>
          <w:szCs w:val="24"/>
        </w:rPr>
        <w:tab/>
      </w:r>
      <w:r w:rsidRPr="00415F06">
        <w:rPr>
          <w:rFonts w:ascii="Times New Roman" w:eastAsia="Calibri" w:hAnsi="Times New Roman" w:cs="Arial"/>
          <w:sz w:val="24"/>
          <w:szCs w:val="24"/>
        </w:rPr>
        <w:tab/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 10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     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Вступление в силу настоящего решения.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Настоящее решение вступает в силу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  01   »   </w:t>
      </w:r>
      <w:r w:rsidRPr="00415F06">
        <w:rPr>
          <w:rFonts w:ascii="Times New Roman" w:eastAsia="Calibri" w:hAnsi="Times New Roman" w:cs="Times New Roman"/>
          <w:sz w:val="24"/>
          <w:szCs w:val="24"/>
        </w:rPr>
        <w:t>января 201</w:t>
      </w:r>
      <w:r w:rsidR="006B18AE">
        <w:rPr>
          <w:rFonts w:ascii="Times New Roman" w:eastAsia="Calibri" w:hAnsi="Times New Roman" w:cs="Times New Roman"/>
          <w:sz w:val="24"/>
          <w:szCs w:val="24"/>
        </w:rPr>
        <w:t>9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06F6D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сельского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обрания депутатов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Джалилов О.А.</w:t>
      </w:r>
    </w:p>
    <w:p w:rsidR="00306F6D" w:rsidRDefault="00306F6D" w:rsidP="00306F6D"/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C34DC1" w:rsidRDefault="00C34DC1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882197" w:rsidRDefault="00882197" w:rsidP="00097D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82197" w:rsidSect="0011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04" w:rsidRDefault="00B65504" w:rsidP="002D3745">
      <w:pPr>
        <w:spacing w:after="0" w:line="240" w:lineRule="auto"/>
      </w:pPr>
      <w:r>
        <w:separator/>
      </w:r>
    </w:p>
  </w:endnote>
  <w:endnote w:type="continuationSeparator" w:id="0">
    <w:p w:rsidR="00B65504" w:rsidRDefault="00B65504" w:rsidP="002D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04" w:rsidRDefault="00B65504" w:rsidP="002D3745">
      <w:pPr>
        <w:spacing w:after="0" w:line="240" w:lineRule="auto"/>
      </w:pPr>
      <w:r>
        <w:separator/>
      </w:r>
    </w:p>
  </w:footnote>
  <w:footnote w:type="continuationSeparator" w:id="0">
    <w:p w:rsidR="00B65504" w:rsidRDefault="00B65504" w:rsidP="002D3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326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FD1866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04017A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DB1500"/>
    <w:multiLevelType w:val="hybridMultilevel"/>
    <w:tmpl w:val="34E0DEC4"/>
    <w:lvl w:ilvl="0" w:tplc="BDBC61B0">
      <w:start w:val="1"/>
      <w:numFmt w:val="upperRoman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500"/>
    <w:rsid w:val="0001758F"/>
    <w:rsid w:val="00047933"/>
    <w:rsid w:val="00094E43"/>
    <w:rsid w:val="00097DF3"/>
    <w:rsid w:val="000A1F7A"/>
    <w:rsid w:val="000B32AB"/>
    <w:rsid w:val="0011055F"/>
    <w:rsid w:val="001C0500"/>
    <w:rsid w:val="00236642"/>
    <w:rsid w:val="00281CBE"/>
    <w:rsid w:val="00284262"/>
    <w:rsid w:val="002D3745"/>
    <w:rsid w:val="00306F6D"/>
    <w:rsid w:val="003C00C4"/>
    <w:rsid w:val="003C2775"/>
    <w:rsid w:val="00410748"/>
    <w:rsid w:val="00453312"/>
    <w:rsid w:val="004C575F"/>
    <w:rsid w:val="004D0CE4"/>
    <w:rsid w:val="00516FBE"/>
    <w:rsid w:val="005E1EA2"/>
    <w:rsid w:val="00610461"/>
    <w:rsid w:val="006B18AE"/>
    <w:rsid w:val="007D0D66"/>
    <w:rsid w:val="00813EDA"/>
    <w:rsid w:val="00882197"/>
    <w:rsid w:val="008935C7"/>
    <w:rsid w:val="008D6019"/>
    <w:rsid w:val="00922E52"/>
    <w:rsid w:val="00944E0E"/>
    <w:rsid w:val="00A112A2"/>
    <w:rsid w:val="00A24851"/>
    <w:rsid w:val="00AE71C7"/>
    <w:rsid w:val="00B65504"/>
    <w:rsid w:val="00C07C84"/>
    <w:rsid w:val="00C3184B"/>
    <w:rsid w:val="00C34DC1"/>
    <w:rsid w:val="00CE0724"/>
    <w:rsid w:val="00CF54A6"/>
    <w:rsid w:val="00D514AF"/>
    <w:rsid w:val="00DF61F5"/>
    <w:rsid w:val="00E917AF"/>
    <w:rsid w:val="00EB7AB6"/>
    <w:rsid w:val="00F0137C"/>
    <w:rsid w:val="00F474A1"/>
    <w:rsid w:val="00F67302"/>
    <w:rsid w:val="00F7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50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C050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12A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3745"/>
  </w:style>
  <w:style w:type="paragraph" w:styleId="a8">
    <w:name w:val="footer"/>
    <w:basedOn w:val="a"/>
    <w:link w:val="a9"/>
    <w:uiPriority w:val="99"/>
    <w:semiHidden/>
    <w:unhideWhenUsed/>
    <w:rsid w:val="002D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3745"/>
  </w:style>
  <w:style w:type="table" w:styleId="aa">
    <w:name w:val="Table Grid"/>
    <w:basedOn w:val="a1"/>
    <w:uiPriority w:val="59"/>
    <w:rsid w:val="00C31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4D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0C6F-DCEB-4199-9258-2E180B3A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26</cp:revision>
  <cp:lastPrinted>2019-01-29T05:42:00Z</cp:lastPrinted>
  <dcterms:created xsi:type="dcterms:W3CDTF">2017-08-20T16:28:00Z</dcterms:created>
  <dcterms:modified xsi:type="dcterms:W3CDTF">2019-03-24T18:01:00Z</dcterms:modified>
</cp:coreProperties>
</file>